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2527C0">
        <w:t>Tan Kapuja Buddhista Főiskola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 xml:space="preserve">pályázatot hirdetnek azon felsőoktatásban tanuló/dolgozó fogyatékossággal élő vagy tartósan beteg </w:t>
      </w:r>
      <w:proofErr w:type="gramStart"/>
      <w:r w:rsidRPr="00EE3B1E">
        <w:t>hallgatók</w:t>
      </w:r>
      <w:proofErr w:type="gramEnd"/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2527C0">
        <w:rPr>
          <w:u w:val="single"/>
        </w:rPr>
        <w:t>erasmus@tkbf.hu</w:t>
      </w:r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(szkennelt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 szkennelt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7265DF">
        <w:rPr>
          <w:i/>
          <w:sz w:val="22"/>
          <w:szCs w:val="22"/>
        </w:rPr>
        <w:t>2018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27C0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9E7C"/>
  <w15:docId w15:val="{11E3A1A1-9B42-4158-B22E-7A16F02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B4EB-B399-4830-A44C-D13837E0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Győri Péter</cp:lastModifiedBy>
  <cp:revision>2</cp:revision>
  <dcterms:created xsi:type="dcterms:W3CDTF">2018-03-28T11:59:00Z</dcterms:created>
  <dcterms:modified xsi:type="dcterms:W3CDTF">2018-03-28T11:59:00Z</dcterms:modified>
</cp:coreProperties>
</file>